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7F" w:rsidRDefault="00FA7E7F" w:rsidP="00FA7E7F">
      <w:pPr>
        <w:jc w:val="center"/>
        <w:rPr>
          <w:rFonts w:ascii="華康中黑體" w:eastAsia="華康中黑體"/>
          <w:b/>
          <w:sz w:val="28"/>
          <w:szCs w:val="28"/>
        </w:rPr>
      </w:pPr>
      <w:r w:rsidRPr="00FA7E7F">
        <w:rPr>
          <w:rFonts w:ascii="華康中黑體" w:eastAsia="華康中黑體" w:hint="eastAsia"/>
          <w:b/>
          <w:sz w:val="28"/>
          <w:szCs w:val="28"/>
        </w:rPr>
        <w:t>103年度臺中市十二年國民基本教育精進國中小教學品質整體計畫</w:t>
      </w:r>
    </w:p>
    <w:p w:rsidR="00D45AA2" w:rsidRDefault="00FA7E7F" w:rsidP="00FA7E7F">
      <w:pPr>
        <w:jc w:val="center"/>
        <w:rPr>
          <w:rFonts w:ascii="華康中黑體" w:eastAsia="華康中黑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>國文教師專業社群第</w:t>
      </w:r>
      <w:r w:rsidR="001037F9">
        <w:rPr>
          <w:rFonts w:ascii="華康中黑體" w:eastAsia="華康中黑體" w:hint="eastAsia"/>
          <w:b/>
          <w:sz w:val="28"/>
          <w:szCs w:val="28"/>
        </w:rPr>
        <w:t>2</w:t>
      </w:r>
      <w:r>
        <w:rPr>
          <w:rFonts w:ascii="華康中黑體" w:eastAsia="華康中黑體" w:hint="eastAsia"/>
          <w:b/>
          <w:sz w:val="28"/>
          <w:szCs w:val="28"/>
        </w:rPr>
        <w:t>次研習紀錄</w:t>
      </w:r>
    </w:p>
    <w:tbl>
      <w:tblPr>
        <w:tblW w:w="965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61"/>
        <w:gridCol w:w="976"/>
        <w:gridCol w:w="3860"/>
      </w:tblGrid>
      <w:tr w:rsidR="00177D9E" w:rsidRPr="00177D9E" w:rsidTr="00B12142">
        <w:trPr>
          <w:trHeight w:val="455"/>
        </w:trPr>
        <w:tc>
          <w:tcPr>
            <w:tcW w:w="959" w:type="dxa"/>
            <w:shd w:val="clear" w:color="auto" w:fill="auto"/>
          </w:tcPr>
          <w:p w:rsidR="00177D9E" w:rsidRPr="00B12142" w:rsidRDefault="00FA7E7F" w:rsidP="00B12142">
            <w:pPr>
              <w:rPr>
                <w:rFonts w:ascii="華康中黑體" w:eastAsia="華康中黑體" w:hAnsi="Calibri" w:cs="Times New Roman"/>
                <w:b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b/>
                <w:szCs w:val="24"/>
              </w:rPr>
              <w:t>日期</w:t>
            </w:r>
          </w:p>
        </w:tc>
        <w:tc>
          <w:tcPr>
            <w:tcW w:w="3861" w:type="dxa"/>
            <w:shd w:val="clear" w:color="auto" w:fill="auto"/>
          </w:tcPr>
          <w:p w:rsidR="00177D9E" w:rsidRPr="00B12142" w:rsidRDefault="00FA7E7F" w:rsidP="00434AAE">
            <w:pPr>
              <w:rPr>
                <w:rFonts w:ascii="華康中黑體" w:eastAsia="華康中黑體" w:hAnsi="標楷體" w:cs="Times New Roman"/>
                <w:szCs w:val="24"/>
              </w:rPr>
            </w:pPr>
            <w:r w:rsidRPr="00B12142">
              <w:rPr>
                <w:rFonts w:ascii="華康中黑體" w:eastAsia="華康中黑體" w:hAnsi="標楷體" w:cs="Times New Roman" w:hint="eastAsia"/>
                <w:szCs w:val="24"/>
              </w:rPr>
              <w:t>03/</w:t>
            </w:r>
            <w:r w:rsidR="00434AAE">
              <w:rPr>
                <w:rFonts w:ascii="華康中黑體" w:eastAsia="華康中黑體" w:hAnsi="標楷體" w:cs="Times New Roman" w:hint="eastAsia"/>
                <w:szCs w:val="24"/>
              </w:rPr>
              <w:t>28</w:t>
            </w:r>
          </w:p>
        </w:tc>
        <w:tc>
          <w:tcPr>
            <w:tcW w:w="976" w:type="dxa"/>
            <w:shd w:val="clear" w:color="auto" w:fill="auto"/>
          </w:tcPr>
          <w:p w:rsidR="00177D9E" w:rsidRPr="00B12142" w:rsidRDefault="00177D9E" w:rsidP="00B12142">
            <w:pPr>
              <w:rPr>
                <w:rFonts w:ascii="華康中黑體" w:eastAsia="華康中黑體" w:hAnsi="Calibri" w:cs="Times New Roman"/>
                <w:b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b/>
                <w:szCs w:val="24"/>
              </w:rPr>
              <w:t>主席</w:t>
            </w:r>
          </w:p>
        </w:tc>
        <w:tc>
          <w:tcPr>
            <w:tcW w:w="3860" w:type="dxa"/>
            <w:shd w:val="clear" w:color="auto" w:fill="auto"/>
          </w:tcPr>
          <w:p w:rsidR="00177D9E" w:rsidRPr="00B12142" w:rsidRDefault="00177D9E" w:rsidP="00B12142">
            <w:pPr>
              <w:rPr>
                <w:rFonts w:ascii="華康中黑體" w:eastAsia="華康中黑體" w:hAnsi="Calibri" w:cs="Times New Roman"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szCs w:val="24"/>
              </w:rPr>
              <w:t>余曉菁</w:t>
            </w:r>
          </w:p>
        </w:tc>
      </w:tr>
      <w:tr w:rsidR="00FA7E7F" w:rsidRPr="00177D9E" w:rsidTr="00177D9E">
        <w:tc>
          <w:tcPr>
            <w:tcW w:w="959" w:type="dxa"/>
            <w:shd w:val="clear" w:color="auto" w:fill="auto"/>
          </w:tcPr>
          <w:p w:rsidR="00FA7E7F" w:rsidRPr="00B12142" w:rsidRDefault="00FA7E7F" w:rsidP="00B12142">
            <w:pPr>
              <w:rPr>
                <w:rFonts w:ascii="華康中黑體" w:eastAsia="華康中黑體" w:hAnsi="Calibri" w:cs="Times New Roman"/>
                <w:b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b/>
                <w:szCs w:val="24"/>
              </w:rPr>
              <w:t>時間</w:t>
            </w:r>
          </w:p>
        </w:tc>
        <w:tc>
          <w:tcPr>
            <w:tcW w:w="3861" w:type="dxa"/>
            <w:shd w:val="clear" w:color="auto" w:fill="auto"/>
          </w:tcPr>
          <w:p w:rsidR="00FA7E7F" w:rsidRPr="00B12142" w:rsidRDefault="00FA7E7F" w:rsidP="00B12142">
            <w:pPr>
              <w:rPr>
                <w:rFonts w:ascii="華康中黑體" w:eastAsia="華康中黑體" w:hAnsi="標楷體" w:cs="Times New Roman"/>
                <w:szCs w:val="24"/>
              </w:rPr>
            </w:pPr>
            <w:r w:rsidRPr="00B12142">
              <w:rPr>
                <w:rFonts w:ascii="華康中黑體" w:eastAsia="華康中黑體" w:hAnsi="標楷體" w:cs="Times New Roman" w:hint="eastAsia"/>
                <w:szCs w:val="24"/>
              </w:rPr>
              <w:t>13</w:t>
            </w:r>
            <w:r w:rsidR="00AC7C46">
              <w:rPr>
                <w:rFonts w:ascii="華康中黑體" w:eastAsia="華康中黑體" w:hAnsi="標楷體" w:cs="Times New Roman" w:hint="eastAsia"/>
                <w:szCs w:val="24"/>
              </w:rPr>
              <w:t>：</w:t>
            </w:r>
            <w:r w:rsidRPr="00B12142">
              <w:rPr>
                <w:rFonts w:ascii="華康中黑體" w:eastAsia="華康中黑體" w:hAnsi="標楷體" w:cs="Times New Roman" w:hint="eastAsia"/>
                <w:szCs w:val="24"/>
              </w:rPr>
              <w:t>00-15</w:t>
            </w:r>
            <w:r w:rsidR="00AC7C46">
              <w:rPr>
                <w:rFonts w:ascii="華康中黑體" w:eastAsia="華康中黑體" w:hAnsi="標楷體" w:cs="Times New Roman" w:hint="eastAsia"/>
                <w:szCs w:val="24"/>
              </w:rPr>
              <w:t>：</w:t>
            </w:r>
            <w:r w:rsidRPr="00B12142">
              <w:rPr>
                <w:rFonts w:ascii="華康中黑體" w:eastAsia="華康中黑體" w:hAnsi="標楷體" w:cs="Times New Roman" w:hint="eastAsia"/>
                <w:szCs w:val="24"/>
              </w:rPr>
              <w:t>00</w:t>
            </w:r>
          </w:p>
        </w:tc>
        <w:tc>
          <w:tcPr>
            <w:tcW w:w="976" w:type="dxa"/>
            <w:shd w:val="clear" w:color="auto" w:fill="auto"/>
          </w:tcPr>
          <w:p w:rsidR="00FA7E7F" w:rsidRPr="00B12142" w:rsidRDefault="002715D2" w:rsidP="00B12142">
            <w:pPr>
              <w:rPr>
                <w:rFonts w:ascii="華康中黑體" w:eastAsia="華康中黑體" w:hAnsi="Calibri" w:cs="Times New Roman"/>
                <w:b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b/>
                <w:szCs w:val="24"/>
              </w:rPr>
              <w:t>講師</w:t>
            </w:r>
          </w:p>
        </w:tc>
        <w:tc>
          <w:tcPr>
            <w:tcW w:w="3860" w:type="dxa"/>
            <w:shd w:val="clear" w:color="auto" w:fill="auto"/>
          </w:tcPr>
          <w:p w:rsidR="00FA7E7F" w:rsidRPr="00B12142" w:rsidRDefault="00DE6368" w:rsidP="00B12142">
            <w:pPr>
              <w:rPr>
                <w:rFonts w:ascii="華康中黑體" w:eastAsia="華康中黑體" w:hAnsi="Calibri" w:cs="Times New Roman"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szCs w:val="24"/>
              </w:rPr>
              <w:t>余曉菁</w:t>
            </w:r>
          </w:p>
        </w:tc>
      </w:tr>
      <w:tr w:rsidR="00177D9E" w:rsidRPr="00177D9E" w:rsidTr="00177D9E">
        <w:tc>
          <w:tcPr>
            <w:tcW w:w="959" w:type="dxa"/>
            <w:tcBorders>
              <w:bottom w:val="thinThickSmallGap" w:sz="24" w:space="0" w:color="auto"/>
            </w:tcBorders>
            <w:shd w:val="clear" w:color="auto" w:fill="auto"/>
          </w:tcPr>
          <w:p w:rsidR="00177D9E" w:rsidRPr="00B12142" w:rsidRDefault="009D3C71" w:rsidP="00B12142">
            <w:pPr>
              <w:rPr>
                <w:rFonts w:ascii="華康中黑體" w:eastAsia="華康中黑體" w:hAnsi="Calibri" w:cs="Times New Roman"/>
                <w:b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b/>
                <w:szCs w:val="24"/>
              </w:rPr>
              <w:t>主題</w:t>
            </w:r>
          </w:p>
        </w:tc>
        <w:tc>
          <w:tcPr>
            <w:tcW w:w="3861" w:type="dxa"/>
            <w:tcBorders>
              <w:bottom w:val="thinThickSmallGap" w:sz="24" w:space="0" w:color="auto"/>
            </w:tcBorders>
            <w:shd w:val="clear" w:color="auto" w:fill="auto"/>
          </w:tcPr>
          <w:p w:rsidR="00177D9E" w:rsidRPr="00B12142" w:rsidRDefault="00BA5CF2" w:rsidP="00B12142">
            <w:pPr>
              <w:rPr>
                <w:rFonts w:ascii="華康中黑體" w:eastAsia="華康中黑體" w:hAnsi="標楷體" w:cs="Times New Roman"/>
                <w:szCs w:val="24"/>
              </w:rPr>
            </w:pPr>
            <w:r w:rsidRPr="00BA5CF2">
              <w:rPr>
                <w:rFonts w:ascii="華康中黑體" w:eastAsia="華康中黑體" w:hAnsi="標楷體" w:cs="Times New Roman" w:hint="eastAsia"/>
                <w:szCs w:val="24"/>
              </w:rPr>
              <w:t>越界閱讀，圖文之間的想像～你我都可以進行的繪本旅行</w:t>
            </w:r>
          </w:p>
        </w:tc>
        <w:tc>
          <w:tcPr>
            <w:tcW w:w="976" w:type="dxa"/>
            <w:tcBorders>
              <w:bottom w:val="thinThickSmallGap" w:sz="24" w:space="0" w:color="auto"/>
            </w:tcBorders>
            <w:shd w:val="clear" w:color="auto" w:fill="auto"/>
          </w:tcPr>
          <w:p w:rsidR="00177D9E" w:rsidRPr="00B12142" w:rsidRDefault="00177D9E" w:rsidP="00B12142">
            <w:pPr>
              <w:rPr>
                <w:rFonts w:ascii="華康中黑體" w:eastAsia="華康中黑體" w:hAnsi="Calibri" w:cs="Times New Roman"/>
                <w:b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b/>
                <w:szCs w:val="24"/>
              </w:rPr>
              <w:t>紀錄</w:t>
            </w:r>
          </w:p>
        </w:tc>
        <w:tc>
          <w:tcPr>
            <w:tcW w:w="3860" w:type="dxa"/>
            <w:tcBorders>
              <w:bottom w:val="thinThickSmallGap" w:sz="24" w:space="0" w:color="auto"/>
            </w:tcBorders>
            <w:shd w:val="clear" w:color="auto" w:fill="auto"/>
          </w:tcPr>
          <w:p w:rsidR="00177D9E" w:rsidRPr="00B12142" w:rsidRDefault="00177D9E" w:rsidP="00B12142">
            <w:pPr>
              <w:rPr>
                <w:rFonts w:ascii="華康中黑體" w:eastAsia="華康中黑體" w:hAnsi="Calibri" w:cs="Times New Roman"/>
                <w:szCs w:val="24"/>
              </w:rPr>
            </w:pPr>
            <w:r w:rsidRPr="00B12142">
              <w:rPr>
                <w:rFonts w:ascii="華康中黑體" w:eastAsia="華康中黑體" w:hAnsi="Calibri" w:cs="Times New Roman" w:hint="eastAsia"/>
                <w:szCs w:val="24"/>
              </w:rPr>
              <w:t>余曉菁</w:t>
            </w:r>
          </w:p>
        </w:tc>
      </w:tr>
      <w:tr w:rsidR="00177D9E" w:rsidRPr="00177D9E" w:rsidTr="00F4403F">
        <w:trPr>
          <w:trHeight w:val="648"/>
        </w:trPr>
        <w:tc>
          <w:tcPr>
            <w:tcW w:w="9656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77D9E" w:rsidRPr="00177D9E" w:rsidRDefault="00177D9E" w:rsidP="00F4403F">
            <w:pPr>
              <w:rPr>
                <w:rFonts w:ascii="華康中黑體" w:eastAsia="華康中黑體" w:hAnsi="Calibri" w:cs="Times New Roman"/>
                <w:b/>
                <w:sz w:val="32"/>
                <w:szCs w:val="32"/>
              </w:rPr>
            </w:pPr>
            <w:r w:rsidRPr="00177D9E">
              <w:rPr>
                <w:rFonts w:ascii="華康中黑體" w:eastAsia="華康中黑體" w:hAnsi="Calibri" w:cs="Times New Roman" w:hint="eastAsia"/>
                <w:b/>
                <w:sz w:val="32"/>
                <w:szCs w:val="32"/>
              </w:rPr>
              <w:t>出席人員：</w:t>
            </w:r>
            <w:r w:rsidRPr="00177D9E">
              <w:rPr>
                <w:rFonts w:ascii="華康中黑體" w:eastAsia="華康中黑體" w:hAnsi="Calibri" w:cs="Times New Roman" w:hint="eastAsia"/>
                <w:sz w:val="32"/>
                <w:szCs w:val="32"/>
              </w:rPr>
              <w:t>詳見研習簽到單</w:t>
            </w:r>
          </w:p>
        </w:tc>
      </w:tr>
      <w:tr w:rsidR="00177D9E" w:rsidRPr="00177D9E" w:rsidTr="00177D9E">
        <w:tc>
          <w:tcPr>
            <w:tcW w:w="9656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77D9E" w:rsidRPr="00177D9E" w:rsidRDefault="00177D9E" w:rsidP="00177D9E">
            <w:pPr>
              <w:spacing w:line="240" w:lineRule="atLeast"/>
              <w:jc w:val="both"/>
              <w:rPr>
                <w:rFonts w:ascii="華康中黑體" w:eastAsia="華康中黑體" w:hAnsi="Calibri" w:cs="Times New Roman"/>
                <w:b/>
                <w:sz w:val="32"/>
                <w:szCs w:val="32"/>
              </w:rPr>
            </w:pPr>
            <w:r w:rsidRPr="00177D9E">
              <w:rPr>
                <w:rFonts w:ascii="華康中黑體" w:eastAsia="華康中黑體" w:hAnsi="Calibri" w:cs="Times New Roman" w:hint="eastAsia"/>
                <w:b/>
                <w:sz w:val="32"/>
                <w:szCs w:val="32"/>
              </w:rPr>
              <w:t>研習記錄：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C851BF" w:rsidP="00177D9E">
            <w:pPr>
              <w:spacing w:line="240" w:lineRule="atLeast"/>
              <w:jc w:val="both"/>
              <w:rPr>
                <w:rFonts w:ascii="Calibri" w:eastAsia="華康仿宋體W6" w:hAnsi="Calibri" w:cs="Times New Roman"/>
                <w:b/>
              </w:rPr>
            </w:pPr>
            <w:r w:rsidRPr="00C851BF">
              <w:rPr>
                <w:rFonts w:ascii="Arial" w:eastAsia="標楷體" w:hAnsi="Arial" w:cs="Arial" w:hint="eastAsia"/>
                <w:b/>
                <w:color w:val="000000"/>
              </w:rPr>
              <w:t>1.</w:t>
            </w:r>
            <w:r w:rsidRPr="00C851BF">
              <w:rPr>
                <w:rFonts w:ascii="Arial" w:eastAsia="標楷體" w:hAnsi="Arial" w:cs="Arial" w:hint="eastAsia"/>
                <w:b/>
                <w:color w:val="000000"/>
              </w:rPr>
              <w:t>利用好繪本開啟學生想像力、創造力</w:t>
            </w:r>
            <w:r w:rsidRPr="00C851BF">
              <w:rPr>
                <w:rFonts w:ascii="Arial" w:eastAsia="標楷體" w:hAnsi="Arial" w:cs="Arial" w:hint="eastAsia"/>
                <w:b/>
                <w:color w:val="000000"/>
              </w:rPr>
              <w:t>。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6A7728" w:rsidRDefault="006A7728" w:rsidP="006A7728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由靜態的閱讀活動培養學生賞析文學作品的能力，再以此為基礎，將此能力轉化為創作的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6A7728" w:rsidP="006A7728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動力，並結合資訊科技的應用，引導學生體驗不同的創造方式，將創作的主權交給孩子，</w:t>
            </w:r>
            <w:r w:rsidRPr="00C851BF">
              <w:rPr>
                <w:rFonts w:ascii="Calibri" w:eastAsia="華康仿宋體W6" w:hAnsi="Calibri" w:cs="Times New Roman"/>
              </w:rPr>
              <w:t xml:space="preserve"> 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6A7728" w:rsidP="006A7728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以資訊科技融入的過程提高孩童的興趣。藉著超越時空限制的發表給予回饋的機會，讓學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6A7728" w:rsidP="006A7728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生感受到成就感，也因此提升了學生學習興趣，老師從知識講述者，轉變為學習活動的引</w:t>
            </w:r>
          </w:p>
        </w:tc>
      </w:tr>
      <w:tr w:rsidR="006A7728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6A7728" w:rsidRPr="006A7728" w:rsidRDefault="006A7728" w:rsidP="006A7728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 w:hint="eastAsia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導者；學生則從被動的接受者，轉變為學習活動的主導者。經過這樣的課程活動之後，孩</w:t>
            </w:r>
          </w:p>
        </w:tc>
      </w:tr>
      <w:tr w:rsidR="006A7728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6A7728" w:rsidRPr="006A7728" w:rsidRDefault="006A7728" w:rsidP="006A7728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 w:hint="eastAsia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子們表示喜歡動腦筋想故事，刺激學</w:t>
            </w:r>
            <w:r>
              <w:rPr>
                <w:rFonts w:ascii="Calibri" w:eastAsia="華康仿宋體W6" w:hAnsi="Calibri" w:cs="Times New Roman" w:hint="eastAsia"/>
              </w:rPr>
              <w:t>生</w:t>
            </w:r>
            <w:r w:rsidRPr="006A7728">
              <w:rPr>
                <w:rFonts w:ascii="Calibri" w:eastAsia="華康仿宋體W6" w:hAnsi="Calibri" w:cs="Times New Roman" w:hint="eastAsia"/>
              </w:rPr>
              <w:t>學習意願。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C851BF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  <w:b/>
              </w:rPr>
            </w:pPr>
            <w:r w:rsidRPr="00C851BF">
              <w:rPr>
                <w:rFonts w:ascii="Calibri" w:eastAsia="華康仿宋體W6" w:hAnsi="Calibri" w:cs="Times New Roman" w:hint="eastAsia"/>
                <w:b/>
              </w:rPr>
              <w:t>2.</w:t>
            </w:r>
            <w:r w:rsidRPr="00C851BF">
              <w:rPr>
                <w:rFonts w:ascii="Calibri" w:eastAsia="華康仿宋體W6" w:hAnsi="Calibri" w:cs="Times New Roman" w:hint="eastAsia"/>
                <w:b/>
              </w:rPr>
              <w:t>繪本和教學結合提昇學生閱讀廣度。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6A7728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學習活動將</w:t>
            </w:r>
            <w:r>
              <w:rPr>
                <w:rFonts w:ascii="Calibri" w:eastAsia="華康仿宋體W6" w:hAnsi="Calibri" w:cs="Times New Roman" w:hint="eastAsia"/>
              </w:rPr>
              <w:t>學生</w:t>
            </w:r>
            <w:r w:rsidRPr="006A7728">
              <w:rPr>
                <w:rFonts w:ascii="Calibri" w:eastAsia="華康仿宋體W6" w:hAnsi="Calibri" w:cs="Times New Roman" w:hint="eastAsia"/>
              </w:rPr>
              <w:t>想</w:t>
            </w:r>
            <w:r>
              <w:rPr>
                <w:rFonts w:ascii="Calibri" w:eastAsia="華康仿宋體W6" w:hAnsi="Calibri" w:cs="Times New Roman" w:hint="eastAsia"/>
              </w:rPr>
              <w:t>看的繪本，利用說故事、寫故事、畫</w:t>
            </w:r>
            <w:r w:rsidRPr="006A7728">
              <w:rPr>
                <w:rFonts w:ascii="Calibri" w:eastAsia="華康仿宋體W6" w:hAnsi="Calibri" w:cs="Times New Roman" w:hint="eastAsia"/>
              </w:rPr>
              <w:t>故事紀錄下來，讓</w:t>
            </w:r>
            <w:r>
              <w:rPr>
                <w:rFonts w:ascii="Calibri" w:eastAsia="華康仿宋體W6" w:hAnsi="Calibri" w:cs="Times New Roman" w:hint="eastAsia"/>
              </w:rPr>
              <w:t>學生</w:t>
            </w:r>
            <w:r w:rsidRPr="006A7728">
              <w:rPr>
                <w:rFonts w:ascii="Calibri" w:eastAsia="華康仿宋體W6" w:hAnsi="Calibri" w:cs="Times New Roman" w:hint="eastAsia"/>
              </w:rPr>
              <w:t>從尋常的生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6A7728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活中尋求創意、美感，包括了用視覺的「看」欣賞藝術之美；能運用「聽」覺，聽出文字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6A7728" w:rsidP="00C93E09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6A7728">
              <w:rPr>
                <w:rFonts w:ascii="Calibri" w:eastAsia="華康仿宋體W6" w:hAnsi="Calibri" w:cs="Times New Roman" w:hint="eastAsia"/>
              </w:rPr>
              <w:t>中的節奏和情感；用心體會創作的過程，實際動手做，進而提升對寫作的興趣。</w:t>
            </w:r>
          </w:p>
        </w:tc>
      </w:tr>
      <w:tr w:rsidR="00177D9E" w:rsidRPr="00E36745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C851BF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  <w:b/>
              </w:rPr>
            </w:pPr>
            <w:r w:rsidRPr="00C851BF">
              <w:rPr>
                <w:rFonts w:ascii="Calibri" w:eastAsia="華康仿宋體W6" w:hAnsi="Calibri" w:cs="Times New Roman" w:hint="eastAsia"/>
                <w:b/>
              </w:rPr>
              <w:t>3.</w:t>
            </w:r>
            <w:r w:rsidRPr="00C851BF">
              <w:rPr>
                <w:rFonts w:ascii="Calibri" w:eastAsia="華康仿宋體W6" w:hAnsi="Calibri" w:cs="Times New Roman" w:hint="eastAsia"/>
                <w:b/>
              </w:rPr>
              <w:t>繪本如何結合心智圖的學習模組提昇教學效能。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F431EF" w:rsidP="00F431EF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>
              <w:rPr>
                <w:rFonts w:ascii="Calibri" w:eastAsia="華康仿宋體W6" w:hAnsi="Calibri" w:cs="Times New Roman" w:hint="eastAsia"/>
              </w:rPr>
              <w:t>繪本有圖像與文字，心智圖運用文字與圖形的組織。</w:t>
            </w:r>
            <w:r w:rsidRPr="00F431EF">
              <w:rPr>
                <w:rFonts w:ascii="Calibri" w:eastAsia="華康仿宋體W6" w:hAnsi="Calibri" w:cs="Times New Roman"/>
                <w:bCs/>
              </w:rPr>
              <w:t>教師可以在班上，使用心智圖來引導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C851BF" w:rsidRDefault="00F431EF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 w:rsidRPr="00F431EF">
              <w:rPr>
                <w:rFonts w:ascii="Calibri" w:eastAsia="華康仿宋體W6" w:hAnsi="Calibri" w:cs="Times New Roman"/>
                <w:bCs/>
              </w:rPr>
              <w:t>全班就某一主題進行聯想、分類、組織、規畫等等討論活動。過程中可採取腦力激盪法，</w:t>
            </w:r>
          </w:p>
        </w:tc>
      </w:tr>
      <w:tr w:rsidR="00F431EF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F431EF" w:rsidRPr="00F431EF" w:rsidRDefault="00F431EF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  <w:bCs/>
              </w:rPr>
            </w:pPr>
            <w:r w:rsidRPr="00F431EF">
              <w:rPr>
                <w:rFonts w:ascii="Calibri" w:eastAsia="華康仿宋體W6" w:hAnsi="Calibri" w:cs="Times New Roman"/>
                <w:bCs/>
              </w:rPr>
              <w:t>集思廣益，讓所有學生都能參與討論，共享活潑又合作的團隊問題解決的經驗。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1D1564" w:rsidRDefault="001D1564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>
              <w:rPr>
                <w:rFonts w:ascii="Calibri" w:eastAsia="華康仿宋體W6" w:hAnsi="Calibri" w:cs="Times New Roman" w:hint="eastAsia"/>
                <w:b/>
              </w:rPr>
              <w:t>4</w:t>
            </w:r>
            <w:r w:rsidRPr="00177D9E">
              <w:rPr>
                <w:rFonts w:ascii="Calibri" w:eastAsia="華康仿宋體W6" w:hAnsi="Calibri" w:cs="Times New Roman" w:hint="eastAsia"/>
                <w:b/>
              </w:rPr>
              <w:t>.</w:t>
            </w:r>
            <w:r>
              <w:rPr>
                <w:rFonts w:ascii="Calibri" w:eastAsia="華康仿宋體W6" w:hAnsi="Calibri" w:cs="Times New Roman" w:hint="eastAsia"/>
                <w:b/>
              </w:rPr>
              <w:t>回饋與分享，與講師互動並填寫回饋單。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1D1564" w:rsidRDefault="00AC7C46" w:rsidP="00177D9E">
            <w:pPr>
              <w:snapToGrid w:val="0"/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>
              <w:rPr>
                <w:rFonts w:ascii="Calibri" w:eastAsia="華康仿宋體W6" w:hAnsi="Calibri" w:cs="Times New Roman" w:hint="eastAsia"/>
              </w:rPr>
              <w:t>回饋單的內容參考回饋單整理。</w:t>
            </w:r>
          </w:p>
        </w:tc>
      </w:tr>
      <w:tr w:rsidR="00177D9E" w:rsidRPr="00177D9E" w:rsidTr="00177D9E">
        <w:trPr>
          <w:trHeight w:val="468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177D9E" w:rsidRDefault="00AC7C46" w:rsidP="00177D9E">
            <w:pPr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  <w:r>
              <w:rPr>
                <w:rFonts w:ascii="Calibri" w:eastAsia="華康仿宋體W6" w:hAnsi="Calibri" w:cs="Times New Roman" w:hint="eastAsia"/>
                <w:b/>
              </w:rPr>
              <w:t>5</w:t>
            </w:r>
            <w:r w:rsidRPr="00177D9E">
              <w:rPr>
                <w:rFonts w:ascii="Calibri" w:eastAsia="華康仿宋體W6" w:hAnsi="Calibri" w:cs="Times New Roman" w:hint="eastAsia"/>
                <w:b/>
              </w:rPr>
              <w:t>.</w:t>
            </w:r>
            <w:r>
              <w:rPr>
                <w:rFonts w:ascii="Calibri" w:eastAsia="華康仿宋體W6" w:hAnsi="Calibri" w:cs="Times New Roman" w:hint="eastAsia"/>
                <w:b/>
              </w:rPr>
              <w:t>研習海報與相關照片如後所附。</w:t>
            </w:r>
          </w:p>
        </w:tc>
      </w:tr>
      <w:tr w:rsidR="00177D9E" w:rsidRPr="00177D9E" w:rsidTr="00177D9E">
        <w:trPr>
          <w:trHeight w:val="409"/>
        </w:trPr>
        <w:tc>
          <w:tcPr>
            <w:tcW w:w="9656" w:type="dxa"/>
            <w:gridSpan w:val="4"/>
            <w:shd w:val="clear" w:color="auto" w:fill="auto"/>
            <w:vAlign w:val="center"/>
          </w:tcPr>
          <w:p w:rsidR="00177D9E" w:rsidRPr="00177D9E" w:rsidRDefault="00177D9E" w:rsidP="00177D9E">
            <w:pPr>
              <w:spacing w:line="240" w:lineRule="atLeast"/>
              <w:jc w:val="both"/>
              <w:rPr>
                <w:rFonts w:ascii="Calibri" w:eastAsia="華康仿宋體W6" w:hAnsi="Calibri" w:cs="Times New Roman"/>
              </w:rPr>
            </w:pPr>
          </w:p>
        </w:tc>
      </w:tr>
    </w:tbl>
    <w:p w:rsidR="00986E8F" w:rsidRPr="00177D9E" w:rsidRDefault="00986E8F">
      <w:bookmarkStart w:id="0" w:name="_GoBack"/>
      <w:bookmarkEnd w:id="0"/>
    </w:p>
    <w:sectPr w:rsidR="00986E8F" w:rsidRPr="00177D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F9" w:rsidRDefault="001037F9" w:rsidP="001037F9">
      <w:r>
        <w:separator/>
      </w:r>
    </w:p>
  </w:endnote>
  <w:endnote w:type="continuationSeparator" w:id="0">
    <w:p w:rsidR="001037F9" w:rsidRDefault="001037F9" w:rsidP="0010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F9" w:rsidRDefault="001037F9" w:rsidP="001037F9">
      <w:r>
        <w:separator/>
      </w:r>
    </w:p>
  </w:footnote>
  <w:footnote w:type="continuationSeparator" w:id="0">
    <w:p w:rsidR="001037F9" w:rsidRDefault="001037F9" w:rsidP="0010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8F"/>
    <w:rsid w:val="001037F9"/>
    <w:rsid w:val="00131B52"/>
    <w:rsid w:val="00177D9E"/>
    <w:rsid w:val="001D1564"/>
    <w:rsid w:val="0022465D"/>
    <w:rsid w:val="002715D2"/>
    <w:rsid w:val="002F6B3C"/>
    <w:rsid w:val="003D1230"/>
    <w:rsid w:val="00434AAE"/>
    <w:rsid w:val="006A7728"/>
    <w:rsid w:val="00986E8F"/>
    <w:rsid w:val="009D3C71"/>
    <w:rsid w:val="009E147A"/>
    <w:rsid w:val="00AC4B8C"/>
    <w:rsid w:val="00AC7C46"/>
    <w:rsid w:val="00B12142"/>
    <w:rsid w:val="00BA5CF2"/>
    <w:rsid w:val="00BF7757"/>
    <w:rsid w:val="00C851BF"/>
    <w:rsid w:val="00C93E09"/>
    <w:rsid w:val="00D4019A"/>
    <w:rsid w:val="00D45AA2"/>
    <w:rsid w:val="00D91A68"/>
    <w:rsid w:val="00DE6368"/>
    <w:rsid w:val="00E36745"/>
    <w:rsid w:val="00F431EF"/>
    <w:rsid w:val="00F4403F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7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7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7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</cp:revision>
  <dcterms:created xsi:type="dcterms:W3CDTF">2014-04-01T03:24:00Z</dcterms:created>
  <dcterms:modified xsi:type="dcterms:W3CDTF">2014-04-01T04:15:00Z</dcterms:modified>
</cp:coreProperties>
</file>